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14A7B">
        <w:rPr>
          <w:rFonts w:ascii="MS Shell Dlg 2" w:hAnsi="MS Shell Dlg 2" w:cs="MS Shell Dlg 2"/>
          <w:noProof/>
          <w:sz w:val="40"/>
          <w:szCs w:val="40"/>
          <w:u w:val="single"/>
        </w:rPr>
        <w:t>Coefficient granulaire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B14A7B" w:rsidRDefault="00B14A7B" w:rsidP="00E341E3">
      <w:pPr>
        <w:spacing w:line="240" w:lineRule="auto"/>
      </w:pPr>
      <w:r>
        <w:t xml:space="preserve">Le logiciel laisse le choix de renseigner le coefficient granulaire rentrant dans l’équation de </w:t>
      </w:r>
      <w:proofErr w:type="spellStart"/>
      <w:r>
        <w:t>bolomey</w:t>
      </w:r>
      <w:proofErr w:type="spellEnd"/>
      <w:r>
        <w:t xml:space="preserve"> par 2 méthodes :</w:t>
      </w:r>
    </w:p>
    <w:p w:rsidR="00B14A7B" w:rsidRDefault="00B14A7B" w:rsidP="00B14A7B">
      <w:pPr>
        <w:pStyle w:val="Paragraphedeliste"/>
        <w:numPr>
          <w:ilvl w:val="0"/>
          <w:numId w:val="18"/>
        </w:numPr>
        <w:spacing w:line="240" w:lineRule="auto"/>
      </w:pPr>
      <w:r>
        <w:t xml:space="preserve">Renseignement direct de </w:t>
      </w:r>
      <w:proofErr w:type="spellStart"/>
      <w:r>
        <w:t>Kdg</w:t>
      </w:r>
      <w:proofErr w:type="spellEnd"/>
    </w:p>
    <w:p w:rsidR="00B14A7B" w:rsidRDefault="00B14A7B" w:rsidP="00B14A7B">
      <w:pPr>
        <w:pStyle w:val="Paragraphedeliste"/>
        <w:numPr>
          <w:ilvl w:val="0"/>
          <w:numId w:val="18"/>
        </w:numPr>
        <w:spacing w:line="240" w:lineRule="auto"/>
      </w:pPr>
      <w:r>
        <w:t xml:space="preserve">Evaluation de </w:t>
      </w:r>
      <w:proofErr w:type="spellStart"/>
      <w:r>
        <w:t>Kdg</w:t>
      </w:r>
      <w:proofErr w:type="spellEnd"/>
      <w:r>
        <w:t xml:space="preserve"> suivant la méthode de formulation employée :</w:t>
      </w:r>
    </w:p>
    <w:p w:rsidR="00B14A7B" w:rsidRDefault="00B14A7B" w:rsidP="00B14A7B">
      <w:pPr>
        <w:pStyle w:val="Paragraphedeliste"/>
        <w:numPr>
          <w:ilvl w:val="1"/>
          <w:numId w:val="18"/>
        </w:numPr>
        <w:spacing w:line="240" w:lineRule="auto"/>
      </w:pPr>
      <w:r>
        <w:t>Dreux-</w:t>
      </w:r>
      <w:proofErr w:type="spellStart"/>
      <w:r>
        <w:t>Gorisse</w:t>
      </w:r>
      <w:proofErr w:type="spellEnd"/>
      <w:r>
        <w:t xml:space="preserve"> : </w:t>
      </w:r>
      <w:r w:rsidR="005A06E9">
        <w:t>Diamètre maximum du granulat + Qualité du granulat</w:t>
      </w:r>
    </w:p>
    <w:p w:rsidR="005A06E9" w:rsidRDefault="005A06E9" w:rsidP="00B14A7B">
      <w:pPr>
        <w:pStyle w:val="Paragraphedeliste"/>
        <w:numPr>
          <w:ilvl w:val="1"/>
          <w:numId w:val="18"/>
        </w:numPr>
        <w:spacing w:line="240" w:lineRule="auto"/>
      </w:pPr>
      <w:r>
        <w:t>Baron-Ollivier : Diamètre maximum du granulat + Nature Pétrographique du Granulat</w:t>
      </w:r>
    </w:p>
    <w:p w:rsidR="005A06E9" w:rsidRDefault="005A06E9" w:rsidP="005A06E9">
      <w:pPr>
        <w:spacing w:line="240" w:lineRule="auto"/>
      </w:pPr>
      <w:r>
        <w:t>Rappel des valeurs de Kg :</w:t>
      </w:r>
    </w:p>
    <w:p w:rsidR="005A06E9" w:rsidRPr="005A06E9" w:rsidRDefault="005A06E9" w:rsidP="005A06E9">
      <w:pPr>
        <w:spacing w:line="240" w:lineRule="auto"/>
        <w:rPr>
          <w:b/>
        </w:rPr>
      </w:pPr>
      <w:r w:rsidRPr="005A06E9">
        <w:rPr>
          <w:b/>
        </w:rPr>
        <w:t>Méthode Dreux-</w:t>
      </w:r>
      <w:proofErr w:type="spellStart"/>
      <w:r w:rsidRPr="005A06E9">
        <w:rPr>
          <w:b/>
        </w:rPr>
        <w:t>Gorisse</w:t>
      </w:r>
      <w:proofErr w:type="spellEnd"/>
      <w:r>
        <w:rPr>
          <w:b/>
        </w:rPr>
        <w:t> :</w:t>
      </w:r>
    </w:p>
    <w:tbl>
      <w:tblPr>
        <w:tblStyle w:val="Grilledutableau"/>
        <w:tblW w:w="0" w:type="auto"/>
        <w:tblInd w:w="769" w:type="dxa"/>
        <w:tblLook w:val="04A0" w:firstRow="1" w:lastRow="0" w:firstColumn="1" w:lastColumn="0" w:noHBand="0" w:noVBand="1"/>
      </w:tblPr>
      <w:tblGrid>
        <w:gridCol w:w="2033"/>
        <w:gridCol w:w="2075"/>
        <w:gridCol w:w="2106"/>
        <w:gridCol w:w="2077"/>
      </w:tblGrid>
      <w:tr w:rsidR="0083507E" w:rsidTr="005A06E9">
        <w:tc>
          <w:tcPr>
            <w:tcW w:w="2033" w:type="dxa"/>
            <w:vMerge w:val="restart"/>
            <w:shd w:val="clear" w:color="auto" w:fill="DBE5F1" w:themeFill="accent1" w:themeFillTint="33"/>
            <w:vAlign w:val="center"/>
          </w:tcPr>
          <w:p w:rsidR="0083507E" w:rsidRDefault="0083507E" w:rsidP="00DE6BAC">
            <w:pPr>
              <w:jc w:val="center"/>
            </w:pPr>
            <w:r>
              <w:t>Qualité des granulats</w:t>
            </w:r>
          </w:p>
        </w:tc>
        <w:tc>
          <w:tcPr>
            <w:tcW w:w="6258" w:type="dxa"/>
            <w:gridSpan w:val="3"/>
            <w:shd w:val="clear" w:color="auto" w:fill="DBE5F1" w:themeFill="accent1" w:themeFillTint="33"/>
            <w:vAlign w:val="center"/>
          </w:tcPr>
          <w:p w:rsidR="0083507E" w:rsidRDefault="0083507E" w:rsidP="00DE6BAC">
            <w:pPr>
              <w:jc w:val="center"/>
            </w:pPr>
            <w:r>
              <w:t>Dimension D des granulats</w:t>
            </w:r>
          </w:p>
        </w:tc>
      </w:tr>
      <w:tr w:rsidR="0083507E" w:rsidTr="005A06E9">
        <w:tc>
          <w:tcPr>
            <w:tcW w:w="2033" w:type="dxa"/>
            <w:vMerge/>
            <w:shd w:val="clear" w:color="auto" w:fill="DBE5F1" w:themeFill="accent1" w:themeFillTint="33"/>
            <w:vAlign w:val="center"/>
          </w:tcPr>
          <w:p w:rsidR="0083507E" w:rsidRDefault="0083507E" w:rsidP="00DE6BAC">
            <w:pPr>
              <w:jc w:val="center"/>
            </w:pPr>
          </w:p>
        </w:tc>
        <w:tc>
          <w:tcPr>
            <w:tcW w:w="2075" w:type="dxa"/>
            <w:shd w:val="clear" w:color="auto" w:fill="DBE5F1" w:themeFill="accent1" w:themeFillTint="33"/>
            <w:vAlign w:val="center"/>
          </w:tcPr>
          <w:p w:rsidR="0083507E" w:rsidRDefault="0083507E" w:rsidP="00DE6BAC">
            <w:pPr>
              <w:jc w:val="center"/>
            </w:pPr>
            <w:r>
              <w:t>Fins</w:t>
            </w:r>
          </w:p>
          <w:p w:rsidR="0083507E" w:rsidRDefault="0083507E" w:rsidP="00DE6BAC">
            <w:pPr>
              <w:jc w:val="center"/>
            </w:pPr>
            <w:r>
              <w:t>(D ≤ 16 mm)</w:t>
            </w:r>
          </w:p>
        </w:tc>
        <w:tc>
          <w:tcPr>
            <w:tcW w:w="2106" w:type="dxa"/>
            <w:shd w:val="clear" w:color="auto" w:fill="DBE5F1" w:themeFill="accent1" w:themeFillTint="33"/>
            <w:vAlign w:val="center"/>
          </w:tcPr>
          <w:p w:rsidR="0083507E" w:rsidRDefault="0083507E" w:rsidP="00DE6BAC">
            <w:pPr>
              <w:jc w:val="center"/>
            </w:pPr>
            <w:r>
              <w:t>Moyens</w:t>
            </w:r>
          </w:p>
          <w:p w:rsidR="0083507E" w:rsidRDefault="0083507E" w:rsidP="00DE6BAC">
            <w:pPr>
              <w:jc w:val="center"/>
            </w:pPr>
            <w:r>
              <w:t>(20 ≤ D ≤ 40 mm)</w:t>
            </w:r>
          </w:p>
          <w:p w:rsidR="0083507E" w:rsidRDefault="0083507E" w:rsidP="00DE6BAC">
            <w:pPr>
              <w:jc w:val="center"/>
            </w:pPr>
            <w:r w:rsidRPr="004300CA">
              <w:rPr>
                <w:color w:val="0000FF"/>
              </w:rPr>
              <w:t>(25 ≤ D ≤ 40 mm)</w:t>
            </w:r>
          </w:p>
        </w:tc>
        <w:tc>
          <w:tcPr>
            <w:tcW w:w="2077" w:type="dxa"/>
            <w:shd w:val="clear" w:color="auto" w:fill="DBE5F1" w:themeFill="accent1" w:themeFillTint="33"/>
            <w:vAlign w:val="center"/>
          </w:tcPr>
          <w:p w:rsidR="0083507E" w:rsidRDefault="0083507E" w:rsidP="00DE6BAC">
            <w:pPr>
              <w:jc w:val="center"/>
            </w:pPr>
            <w:r>
              <w:t>Gros</w:t>
            </w:r>
          </w:p>
          <w:p w:rsidR="0083507E" w:rsidRDefault="0083507E" w:rsidP="00DE6BAC">
            <w:pPr>
              <w:jc w:val="center"/>
            </w:pPr>
            <w:r>
              <w:t xml:space="preserve">(D ≥ 50 mm) </w:t>
            </w:r>
          </w:p>
          <w:p w:rsidR="0083507E" w:rsidRDefault="0083507E" w:rsidP="00DE6BAC">
            <w:pPr>
              <w:jc w:val="center"/>
            </w:pPr>
            <w:r w:rsidRPr="004300CA">
              <w:rPr>
                <w:color w:val="0000FF"/>
              </w:rPr>
              <w:t>(D ≥ 63 mm)</w:t>
            </w:r>
          </w:p>
        </w:tc>
      </w:tr>
      <w:tr w:rsidR="0083507E" w:rsidTr="00DE6BAC">
        <w:tc>
          <w:tcPr>
            <w:tcW w:w="2033" w:type="dxa"/>
            <w:vAlign w:val="center"/>
          </w:tcPr>
          <w:p w:rsidR="0083507E" w:rsidRDefault="0083507E" w:rsidP="00DE6BAC">
            <w:pPr>
              <w:jc w:val="center"/>
            </w:pPr>
            <w:r>
              <w:t>Excellente</w:t>
            </w:r>
          </w:p>
        </w:tc>
        <w:tc>
          <w:tcPr>
            <w:tcW w:w="2075" w:type="dxa"/>
            <w:vAlign w:val="center"/>
          </w:tcPr>
          <w:p w:rsidR="0083507E" w:rsidRDefault="0083507E" w:rsidP="00DE6BAC">
            <w:pPr>
              <w:jc w:val="center"/>
            </w:pPr>
            <w:r>
              <w:t>0,55</w:t>
            </w:r>
          </w:p>
        </w:tc>
        <w:tc>
          <w:tcPr>
            <w:tcW w:w="2106" w:type="dxa"/>
            <w:vAlign w:val="center"/>
          </w:tcPr>
          <w:p w:rsidR="0083507E" w:rsidRDefault="0083507E" w:rsidP="00DE6BAC">
            <w:pPr>
              <w:jc w:val="center"/>
            </w:pPr>
            <w:r>
              <w:t>0,60</w:t>
            </w:r>
          </w:p>
        </w:tc>
        <w:tc>
          <w:tcPr>
            <w:tcW w:w="2077" w:type="dxa"/>
            <w:vAlign w:val="center"/>
          </w:tcPr>
          <w:p w:rsidR="0083507E" w:rsidRDefault="0083507E" w:rsidP="00DE6BAC">
            <w:pPr>
              <w:jc w:val="center"/>
            </w:pPr>
            <w:r>
              <w:t>0,65</w:t>
            </w:r>
          </w:p>
        </w:tc>
      </w:tr>
      <w:tr w:rsidR="0083507E" w:rsidTr="00DE6BAC">
        <w:tc>
          <w:tcPr>
            <w:tcW w:w="2033" w:type="dxa"/>
            <w:vAlign w:val="center"/>
          </w:tcPr>
          <w:p w:rsidR="0083507E" w:rsidRDefault="0083507E" w:rsidP="00DE6BAC">
            <w:pPr>
              <w:jc w:val="center"/>
            </w:pPr>
            <w:r>
              <w:t>Bonne, courante</w:t>
            </w:r>
          </w:p>
        </w:tc>
        <w:tc>
          <w:tcPr>
            <w:tcW w:w="2075" w:type="dxa"/>
            <w:vAlign w:val="center"/>
          </w:tcPr>
          <w:p w:rsidR="0083507E" w:rsidRDefault="0083507E" w:rsidP="00DE6BAC">
            <w:pPr>
              <w:jc w:val="center"/>
            </w:pPr>
            <w:r>
              <w:t>0,45</w:t>
            </w:r>
          </w:p>
        </w:tc>
        <w:tc>
          <w:tcPr>
            <w:tcW w:w="2106" w:type="dxa"/>
            <w:vAlign w:val="center"/>
          </w:tcPr>
          <w:p w:rsidR="0083507E" w:rsidRDefault="0083507E" w:rsidP="00DE6BAC">
            <w:pPr>
              <w:jc w:val="center"/>
            </w:pPr>
            <w:r>
              <w:t xml:space="preserve">0,50 </w:t>
            </w:r>
            <w:r w:rsidRPr="004300CA">
              <w:rPr>
                <w:color w:val="0000FF"/>
              </w:rPr>
              <w:t>(0,55)</w:t>
            </w:r>
          </w:p>
        </w:tc>
        <w:tc>
          <w:tcPr>
            <w:tcW w:w="2077" w:type="dxa"/>
            <w:vAlign w:val="center"/>
          </w:tcPr>
          <w:p w:rsidR="0083507E" w:rsidRDefault="0083507E" w:rsidP="00DE6BAC">
            <w:pPr>
              <w:jc w:val="center"/>
            </w:pPr>
            <w:r>
              <w:t xml:space="preserve">0,55 </w:t>
            </w:r>
            <w:r w:rsidRPr="004300CA">
              <w:rPr>
                <w:color w:val="0000FF"/>
              </w:rPr>
              <w:t>(0,60)</w:t>
            </w:r>
          </w:p>
        </w:tc>
      </w:tr>
      <w:tr w:rsidR="0083507E" w:rsidTr="00DE6BAC">
        <w:tc>
          <w:tcPr>
            <w:tcW w:w="2033" w:type="dxa"/>
            <w:vAlign w:val="center"/>
          </w:tcPr>
          <w:p w:rsidR="0083507E" w:rsidRDefault="0083507E" w:rsidP="00DE6BAC">
            <w:pPr>
              <w:jc w:val="center"/>
            </w:pPr>
            <w:r>
              <w:t>Passable</w:t>
            </w:r>
          </w:p>
        </w:tc>
        <w:tc>
          <w:tcPr>
            <w:tcW w:w="2075" w:type="dxa"/>
            <w:vAlign w:val="center"/>
          </w:tcPr>
          <w:p w:rsidR="0083507E" w:rsidRDefault="0083507E" w:rsidP="00DE6BAC">
            <w:pPr>
              <w:jc w:val="center"/>
            </w:pPr>
            <w:r>
              <w:t>0,35</w:t>
            </w:r>
          </w:p>
        </w:tc>
        <w:tc>
          <w:tcPr>
            <w:tcW w:w="2106" w:type="dxa"/>
            <w:vAlign w:val="center"/>
          </w:tcPr>
          <w:p w:rsidR="0083507E" w:rsidRDefault="0083507E" w:rsidP="00DE6BAC">
            <w:pPr>
              <w:jc w:val="center"/>
            </w:pPr>
            <w:r>
              <w:t>0,40</w:t>
            </w:r>
          </w:p>
        </w:tc>
        <w:tc>
          <w:tcPr>
            <w:tcW w:w="2077" w:type="dxa"/>
            <w:vAlign w:val="center"/>
          </w:tcPr>
          <w:p w:rsidR="0083507E" w:rsidRDefault="0083507E" w:rsidP="00DE6BAC">
            <w:pPr>
              <w:keepNext/>
              <w:jc w:val="center"/>
            </w:pPr>
            <w:r>
              <w:t>0,45</w:t>
            </w:r>
          </w:p>
        </w:tc>
      </w:tr>
    </w:tbl>
    <w:p w:rsidR="00B91596" w:rsidRDefault="00B91596" w:rsidP="005A06E9">
      <w:pPr>
        <w:spacing w:before="240" w:line="240" w:lineRule="auto"/>
      </w:pPr>
      <w:r>
        <w:t>Les éléments en Bleu sont les corrections de l’ENS.</w:t>
      </w:r>
    </w:p>
    <w:p w:rsidR="00B14A7B" w:rsidRDefault="0083507E" w:rsidP="005A06E9">
      <w:pPr>
        <w:spacing w:before="240" w:line="240" w:lineRule="auto"/>
      </w:pPr>
      <w:r>
        <w:t>Avec la correspondance :</w:t>
      </w:r>
    </w:p>
    <w:tbl>
      <w:tblPr>
        <w:tblStyle w:val="Grilledutableau"/>
        <w:tblW w:w="0" w:type="auto"/>
        <w:tblInd w:w="1079" w:type="dxa"/>
        <w:tblLook w:val="04A0" w:firstRow="1" w:lastRow="0" w:firstColumn="1" w:lastColumn="0" w:noHBand="0" w:noVBand="1"/>
      </w:tblPr>
      <w:tblGrid>
        <w:gridCol w:w="3456"/>
        <w:gridCol w:w="3444"/>
      </w:tblGrid>
      <w:tr w:rsidR="005A06E9" w:rsidTr="00DE6BAC">
        <w:tc>
          <w:tcPr>
            <w:tcW w:w="6900" w:type="dxa"/>
            <w:gridSpan w:val="2"/>
            <w:shd w:val="clear" w:color="auto" w:fill="DBE5F1" w:themeFill="accent1" w:themeFillTint="33"/>
          </w:tcPr>
          <w:p w:rsidR="005A06E9" w:rsidRPr="00904DF2" w:rsidRDefault="005A06E9" w:rsidP="00DE6BAC">
            <w:pPr>
              <w:jc w:val="center"/>
              <w:rPr>
                <w:b/>
              </w:rPr>
            </w:pPr>
            <w:r w:rsidRPr="00904DF2">
              <w:rPr>
                <w:b/>
              </w:rPr>
              <w:t>Tableau de correspondance du logiciel</w:t>
            </w:r>
          </w:p>
        </w:tc>
      </w:tr>
      <w:tr w:rsidR="005A06E9" w:rsidTr="00DE6BAC">
        <w:tc>
          <w:tcPr>
            <w:tcW w:w="3456" w:type="dxa"/>
            <w:shd w:val="clear" w:color="auto" w:fill="DBE5F1" w:themeFill="accent1" w:themeFillTint="33"/>
          </w:tcPr>
          <w:p w:rsidR="005A06E9" w:rsidRPr="00904DF2" w:rsidRDefault="005A06E9" w:rsidP="00DE6BAC">
            <w:pPr>
              <w:jc w:val="center"/>
              <w:rPr>
                <w:b/>
              </w:rPr>
            </w:pPr>
            <w:r w:rsidRPr="00904DF2">
              <w:rPr>
                <w:b/>
              </w:rPr>
              <w:t>Qualité du granulat suivant P18-545</w:t>
            </w:r>
          </w:p>
        </w:tc>
        <w:tc>
          <w:tcPr>
            <w:tcW w:w="3444" w:type="dxa"/>
            <w:shd w:val="clear" w:color="auto" w:fill="DBE5F1" w:themeFill="accent1" w:themeFillTint="33"/>
          </w:tcPr>
          <w:p w:rsidR="005A06E9" w:rsidRPr="00904DF2" w:rsidRDefault="005A06E9" w:rsidP="00DE6BAC">
            <w:pPr>
              <w:jc w:val="center"/>
              <w:rPr>
                <w:b/>
              </w:rPr>
            </w:pPr>
            <w:r w:rsidRPr="00904DF2">
              <w:rPr>
                <w:b/>
              </w:rPr>
              <w:t>Qualité suivant Dreux-</w:t>
            </w:r>
            <w:proofErr w:type="spellStart"/>
            <w:r w:rsidRPr="00904DF2">
              <w:rPr>
                <w:b/>
              </w:rPr>
              <w:t>Gorisse</w:t>
            </w:r>
            <w:proofErr w:type="spellEnd"/>
          </w:p>
        </w:tc>
      </w:tr>
      <w:tr w:rsidR="005A06E9" w:rsidTr="00DE6BAC">
        <w:tc>
          <w:tcPr>
            <w:tcW w:w="3456" w:type="dxa"/>
          </w:tcPr>
          <w:p w:rsidR="005A06E9" w:rsidRDefault="005A06E9" w:rsidP="00DE6BAC">
            <w:pPr>
              <w:jc w:val="center"/>
            </w:pPr>
            <w:r>
              <w:t>Caractéristiques indicées A</w:t>
            </w:r>
          </w:p>
        </w:tc>
        <w:tc>
          <w:tcPr>
            <w:tcW w:w="3444" w:type="dxa"/>
          </w:tcPr>
          <w:p w:rsidR="005A06E9" w:rsidRDefault="005A06E9" w:rsidP="00DE6BAC">
            <w:pPr>
              <w:jc w:val="center"/>
            </w:pPr>
            <w:r>
              <w:t>Excellent</w:t>
            </w:r>
          </w:p>
        </w:tc>
      </w:tr>
      <w:tr w:rsidR="005A06E9" w:rsidTr="00DE6BAC">
        <w:tc>
          <w:tcPr>
            <w:tcW w:w="3456" w:type="dxa"/>
          </w:tcPr>
          <w:p w:rsidR="005A06E9" w:rsidRDefault="005A06E9" w:rsidP="00DE6BAC">
            <w:pPr>
              <w:jc w:val="center"/>
            </w:pPr>
            <w:r>
              <w:t>Caractéristiques indicées B</w:t>
            </w:r>
          </w:p>
        </w:tc>
        <w:tc>
          <w:tcPr>
            <w:tcW w:w="3444" w:type="dxa"/>
          </w:tcPr>
          <w:p w:rsidR="005A06E9" w:rsidRDefault="005A06E9" w:rsidP="00DE6BAC">
            <w:pPr>
              <w:jc w:val="center"/>
            </w:pPr>
            <w:r>
              <w:t>Bonne</w:t>
            </w:r>
          </w:p>
        </w:tc>
      </w:tr>
      <w:tr w:rsidR="005A06E9" w:rsidTr="00DE6BAC">
        <w:tc>
          <w:tcPr>
            <w:tcW w:w="3456" w:type="dxa"/>
          </w:tcPr>
          <w:p w:rsidR="005A06E9" w:rsidRDefault="005A06E9" w:rsidP="00DE6BAC">
            <w:pPr>
              <w:jc w:val="center"/>
            </w:pPr>
            <w:r>
              <w:t>Caractéristiques indicées C</w:t>
            </w:r>
          </w:p>
        </w:tc>
        <w:tc>
          <w:tcPr>
            <w:tcW w:w="3444" w:type="dxa"/>
          </w:tcPr>
          <w:p w:rsidR="005A06E9" w:rsidRDefault="005A06E9" w:rsidP="00DE6BAC">
            <w:pPr>
              <w:jc w:val="center"/>
            </w:pPr>
            <w:r>
              <w:t>Courante</w:t>
            </w:r>
          </w:p>
        </w:tc>
      </w:tr>
      <w:tr w:rsidR="005A06E9" w:rsidTr="00DE6BAC">
        <w:tc>
          <w:tcPr>
            <w:tcW w:w="3456" w:type="dxa"/>
          </w:tcPr>
          <w:p w:rsidR="005A06E9" w:rsidRDefault="005A06E9" w:rsidP="00DE6BAC">
            <w:pPr>
              <w:jc w:val="center"/>
            </w:pPr>
            <w:r>
              <w:t>Caractéristiques indicées D</w:t>
            </w:r>
          </w:p>
        </w:tc>
        <w:tc>
          <w:tcPr>
            <w:tcW w:w="3444" w:type="dxa"/>
          </w:tcPr>
          <w:p w:rsidR="005A06E9" w:rsidRDefault="005A06E9" w:rsidP="00DE6BAC">
            <w:pPr>
              <w:keepNext/>
              <w:jc w:val="center"/>
            </w:pPr>
            <w:r>
              <w:t>Passable</w:t>
            </w:r>
          </w:p>
        </w:tc>
      </w:tr>
    </w:tbl>
    <w:p w:rsidR="0083507E" w:rsidRPr="005A06E9" w:rsidRDefault="005A06E9" w:rsidP="005A06E9">
      <w:pPr>
        <w:spacing w:before="240" w:line="240" w:lineRule="auto"/>
        <w:rPr>
          <w:b/>
        </w:rPr>
      </w:pPr>
      <w:r w:rsidRPr="005A06E9">
        <w:rPr>
          <w:b/>
        </w:rPr>
        <w:t>Méthode Baron-Ollivier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5A06E9" w:rsidTr="00DE6BAC">
        <w:tc>
          <w:tcPr>
            <w:tcW w:w="2265" w:type="dxa"/>
            <w:vMerge w:val="restart"/>
            <w:shd w:val="clear" w:color="auto" w:fill="DBE5F1" w:themeFill="accent1" w:themeFillTint="33"/>
          </w:tcPr>
          <w:p w:rsidR="005A06E9" w:rsidRPr="00B04746" w:rsidRDefault="005A06E9" w:rsidP="00DE6BAC">
            <w:pPr>
              <w:rPr>
                <w:b/>
              </w:rPr>
            </w:pPr>
            <w:r w:rsidRPr="00B04746">
              <w:rPr>
                <w:b/>
              </w:rPr>
              <w:t>Nature pétrographique des granulats</w:t>
            </w:r>
          </w:p>
        </w:tc>
        <w:tc>
          <w:tcPr>
            <w:tcW w:w="6795" w:type="dxa"/>
            <w:gridSpan w:val="3"/>
            <w:shd w:val="clear" w:color="auto" w:fill="DBE5F1" w:themeFill="accent1" w:themeFillTint="33"/>
          </w:tcPr>
          <w:p w:rsidR="005A06E9" w:rsidRPr="00B04746" w:rsidRDefault="005A06E9" w:rsidP="00DE6BAC">
            <w:pPr>
              <w:jc w:val="center"/>
              <w:rPr>
                <w:b/>
              </w:rPr>
            </w:pPr>
            <w:r w:rsidRPr="00B04746">
              <w:rPr>
                <w:b/>
              </w:rPr>
              <w:t>D (mm)</w:t>
            </w:r>
          </w:p>
        </w:tc>
      </w:tr>
      <w:tr w:rsidR="005A06E9" w:rsidTr="00DE6BAC">
        <w:tc>
          <w:tcPr>
            <w:tcW w:w="2265" w:type="dxa"/>
            <w:vMerge/>
            <w:shd w:val="clear" w:color="auto" w:fill="DBE5F1" w:themeFill="accent1" w:themeFillTint="33"/>
          </w:tcPr>
          <w:p w:rsidR="005A06E9" w:rsidRPr="00B04746" w:rsidRDefault="005A06E9" w:rsidP="00DE6BAC">
            <w:pPr>
              <w:rPr>
                <w:b/>
              </w:rPr>
            </w:pPr>
          </w:p>
        </w:tc>
        <w:tc>
          <w:tcPr>
            <w:tcW w:w="2265" w:type="dxa"/>
            <w:shd w:val="clear" w:color="auto" w:fill="DBE5F1" w:themeFill="accent1" w:themeFillTint="33"/>
            <w:vAlign w:val="center"/>
          </w:tcPr>
          <w:p w:rsidR="005A06E9" w:rsidRPr="00B04746" w:rsidRDefault="005A06E9" w:rsidP="00DE6BAC">
            <w:pPr>
              <w:jc w:val="center"/>
              <w:rPr>
                <w:b/>
              </w:rPr>
            </w:pPr>
            <w:r w:rsidRPr="00B04746">
              <w:rPr>
                <w:b/>
              </w:rPr>
              <w:t>10 à 16</w:t>
            </w:r>
          </w:p>
        </w:tc>
        <w:tc>
          <w:tcPr>
            <w:tcW w:w="2265" w:type="dxa"/>
            <w:shd w:val="clear" w:color="auto" w:fill="DBE5F1" w:themeFill="accent1" w:themeFillTint="33"/>
            <w:vAlign w:val="center"/>
          </w:tcPr>
          <w:p w:rsidR="005A06E9" w:rsidRPr="00B04746" w:rsidRDefault="005A06E9" w:rsidP="00DE6BAC">
            <w:pPr>
              <w:jc w:val="center"/>
              <w:rPr>
                <w:b/>
              </w:rPr>
            </w:pPr>
            <w:r w:rsidRPr="00B04746">
              <w:rPr>
                <w:b/>
              </w:rPr>
              <w:t>20 à 25</w:t>
            </w:r>
          </w:p>
        </w:tc>
        <w:tc>
          <w:tcPr>
            <w:tcW w:w="2265" w:type="dxa"/>
            <w:shd w:val="clear" w:color="auto" w:fill="DBE5F1" w:themeFill="accent1" w:themeFillTint="33"/>
            <w:vAlign w:val="center"/>
          </w:tcPr>
          <w:p w:rsidR="005A06E9" w:rsidRPr="00B04746" w:rsidRDefault="005A06E9" w:rsidP="00DE6BAC">
            <w:pPr>
              <w:jc w:val="center"/>
              <w:rPr>
                <w:b/>
              </w:rPr>
            </w:pPr>
            <w:r w:rsidRPr="00B04746">
              <w:rPr>
                <w:b/>
              </w:rPr>
              <w:t>30 à 40</w:t>
            </w:r>
          </w:p>
        </w:tc>
      </w:tr>
      <w:tr w:rsidR="005A06E9" w:rsidTr="00DE6BAC">
        <w:tc>
          <w:tcPr>
            <w:tcW w:w="2265" w:type="dxa"/>
          </w:tcPr>
          <w:p w:rsidR="005A06E9" w:rsidRDefault="005A06E9" w:rsidP="00DE6BAC">
            <w:r>
              <w:t>Siliceux, légèrement altérés</w:t>
            </w:r>
          </w:p>
        </w:tc>
        <w:tc>
          <w:tcPr>
            <w:tcW w:w="2265" w:type="dxa"/>
            <w:vAlign w:val="center"/>
          </w:tcPr>
          <w:p w:rsidR="005A06E9" w:rsidRDefault="005A06E9" w:rsidP="00DE6BAC">
            <w:pPr>
              <w:jc w:val="center"/>
            </w:pPr>
            <w:r>
              <w:t>0.45</w:t>
            </w:r>
          </w:p>
        </w:tc>
        <w:tc>
          <w:tcPr>
            <w:tcW w:w="2265" w:type="dxa"/>
            <w:vAlign w:val="center"/>
          </w:tcPr>
          <w:p w:rsidR="005A06E9" w:rsidRDefault="005A06E9" w:rsidP="00DE6BAC">
            <w:pPr>
              <w:jc w:val="center"/>
            </w:pPr>
            <w:r>
              <w:t>0.50</w:t>
            </w:r>
          </w:p>
        </w:tc>
        <w:tc>
          <w:tcPr>
            <w:tcW w:w="2265" w:type="dxa"/>
            <w:vAlign w:val="center"/>
          </w:tcPr>
          <w:p w:rsidR="005A06E9" w:rsidRDefault="005A06E9" w:rsidP="00DE6BAC">
            <w:pPr>
              <w:jc w:val="center"/>
            </w:pPr>
            <w:r>
              <w:t>0.55</w:t>
            </w:r>
          </w:p>
        </w:tc>
      </w:tr>
      <w:tr w:rsidR="005A06E9" w:rsidTr="00DE6BAC">
        <w:tc>
          <w:tcPr>
            <w:tcW w:w="2265" w:type="dxa"/>
          </w:tcPr>
          <w:p w:rsidR="005A06E9" w:rsidRDefault="005A06E9" w:rsidP="00DE6BAC">
            <w:r>
              <w:t>Siliceux, roulés</w:t>
            </w:r>
          </w:p>
        </w:tc>
        <w:tc>
          <w:tcPr>
            <w:tcW w:w="2265" w:type="dxa"/>
            <w:vAlign w:val="center"/>
          </w:tcPr>
          <w:p w:rsidR="005A06E9" w:rsidRDefault="005A06E9" w:rsidP="00DE6BAC">
            <w:pPr>
              <w:jc w:val="center"/>
            </w:pPr>
            <w:r>
              <w:t>0.50</w:t>
            </w:r>
          </w:p>
        </w:tc>
        <w:tc>
          <w:tcPr>
            <w:tcW w:w="2265" w:type="dxa"/>
            <w:vAlign w:val="center"/>
          </w:tcPr>
          <w:p w:rsidR="005A06E9" w:rsidRDefault="005A06E9" w:rsidP="00DE6BAC">
            <w:pPr>
              <w:jc w:val="center"/>
            </w:pPr>
            <w:r>
              <w:t>0.55</w:t>
            </w:r>
          </w:p>
        </w:tc>
        <w:tc>
          <w:tcPr>
            <w:tcW w:w="2265" w:type="dxa"/>
            <w:vAlign w:val="center"/>
          </w:tcPr>
          <w:p w:rsidR="005A06E9" w:rsidRDefault="005A06E9" w:rsidP="00DE6BAC">
            <w:pPr>
              <w:jc w:val="center"/>
            </w:pPr>
            <w:r>
              <w:t>0.60</w:t>
            </w:r>
          </w:p>
        </w:tc>
      </w:tr>
      <w:tr w:rsidR="005A06E9" w:rsidTr="00DE6BAC">
        <w:tc>
          <w:tcPr>
            <w:tcW w:w="2265" w:type="dxa"/>
          </w:tcPr>
          <w:p w:rsidR="005A06E9" w:rsidRDefault="005A06E9" w:rsidP="00DE6BAC">
            <w:r>
              <w:t>Calcaires, durs</w:t>
            </w:r>
          </w:p>
        </w:tc>
        <w:tc>
          <w:tcPr>
            <w:tcW w:w="2265" w:type="dxa"/>
            <w:vAlign w:val="center"/>
          </w:tcPr>
          <w:p w:rsidR="005A06E9" w:rsidRDefault="005A06E9" w:rsidP="00DE6BAC">
            <w:pPr>
              <w:jc w:val="center"/>
            </w:pPr>
            <w:r>
              <w:t>0.55</w:t>
            </w:r>
          </w:p>
        </w:tc>
        <w:tc>
          <w:tcPr>
            <w:tcW w:w="2265" w:type="dxa"/>
            <w:vAlign w:val="center"/>
          </w:tcPr>
          <w:p w:rsidR="005A06E9" w:rsidRDefault="005A06E9" w:rsidP="00DE6BAC">
            <w:pPr>
              <w:jc w:val="center"/>
            </w:pPr>
            <w:r>
              <w:t>0.60</w:t>
            </w:r>
          </w:p>
        </w:tc>
        <w:tc>
          <w:tcPr>
            <w:tcW w:w="2265" w:type="dxa"/>
            <w:vAlign w:val="center"/>
          </w:tcPr>
          <w:p w:rsidR="005A06E9" w:rsidRDefault="005A06E9" w:rsidP="00DE6BAC">
            <w:pPr>
              <w:jc w:val="center"/>
            </w:pPr>
            <w:r>
              <w:t>0.65</w:t>
            </w:r>
          </w:p>
        </w:tc>
      </w:tr>
    </w:tbl>
    <w:p w:rsidR="005A06E9" w:rsidRDefault="005A06E9" w:rsidP="005A06E9">
      <w:pPr>
        <w:spacing w:before="240" w:line="240" w:lineRule="auto"/>
      </w:pPr>
      <w:r>
        <w:t xml:space="preserve">En considérant que les calcaires durs sont des granulats de qualité A ou B et </w:t>
      </w:r>
      <w:r w:rsidRPr="005A06E9">
        <w:rPr>
          <w:u w:val="single"/>
        </w:rPr>
        <w:t>Concassés</w:t>
      </w:r>
      <w:r>
        <w:t>.</w:t>
      </w:r>
    </w:p>
    <w:p w:rsidR="00B91596" w:rsidRDefault="0079060F" w:rsidP="005A06E9">
      <w:pPr>
        <w:spacing w:before="240" w:line="240" w:lineRule="auto"/>
      </w:pPr>
      <w:r>
        <w:lastRenderedPageBreak/>
        <w:t>Je rappelle que la valeur de Kg est une valeur expérimentale propre à chaque mélange de granulats. D’où l’intérêt de pouvoir renseigner une valeur directe de ce coefficient.</w:t>
      </w:r>
      <w:bookmarkStart w:id="0" w:name="_GoBack"/>
      <w:bookmarkEnd w:id="0"/>
    </w:p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5A06E9">
        <w:t>15 juin 2026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513B6C" w:rsidRDefault="00513B6C" w:rsidP="00C163E6">
      <w:pPr>
        <w:pStyle w:val="Paragraphedeliste"/>
        <w:numPr>
          <w:ilvl w:val="0"/>
          <w:numId w:val="1"/>
        </w:numPr>
        <w:spacing w:line="240" w:lineRule="auto"/>
      </w:pPr>
      <w:r>
        <w:t>« Nouveau guide du béton et de ses constituants » - 8</w:t>
      </w:r>
      <w:r w:rsidRPr="005B5122">
        <w:rPr>
          <w:vertAlign w:val="superscript"/>
        </w:rPr>
        <w:t>ième</w:t>
      </w:r>
      <w:r>
        <w:t xml:space="preserve"> édition 1998 3</w:t>
      </w:r>
      <w:r w:rsidRPr="00D75B78">
        <w:rPr>
          <w:vertAlign w:val="superscript"/>
        </w:rPr>
        <w:t>ième</w:t>
      </w:r>
      <w:r>
        <w:t xml:space="preserve"> tirage 2007 – G. Dreux &amp; J. FESTA- Edition Eyrolles  </w:t>
      </w:r>
    </w:p>
    <w:p w:rsidR="005A06E9" w:rsidRDefault="005A06E9" w:rsidP="00C163E6">
      <w:pPr>
        <w:pStyle w:val="Paragraphedeliste"/>
        <w:numPr>
          <w:ilvl w:val="0"/>
          <w:numId w:val="1"/>
        </w:numPr>
        <w:spacing w:line="240" w:lineRule="auto"/>
      </w:pPr>
      <w:r w:rsidRPr="00DA113E">
        <w:t xml:space="preserve">« Les bétons – Bases et données pour leur formulation » écrit sous la direction de Jacques Baron et </w:t>
      </w:r>
      <w:proofErr w:type="spellStart"/>
      <w:r w:rsidRPr="00DA113E">
        <w:t>Jean-pierre</w:t>
      </w:r>
      <w:proofErr w:type="spellEnd"/>
      <w:r w:rsidRPr="00DA113E">
        <w:t xml:space="preserve"> Ollivier et paru aux Editions Eyrolles</w:t>
      </w:r>
      <w:r>
        <w:t xml:space="preserve"> 1996.</w:t>
      </w:r>
    </w:p>
    <w:p w:rsidR="00B91596" w:rsidRDefault="00B91596" w:rsidP="00C163E6">
      <w:pPr>
        <w:pStyle w:val="Paragraphedeliste"/>
        <w:numPr>
          <w:ilvl w:val="0"/>
          <w:numId w:val="1"/>
        </w:numPr>
        <w:spacing w:line="240" w:lineRule="auto"/>
      </w:pPr>
      <w:r>
        <w:t>TD – Formulation d’un béton ordinaire – ENS Paris Saclay – 15/10/2018</w:t>
      </w:r>
      <w:r w:rsidRPr="009A018A">
        <w:rPr>
          <w:rFonts w:ascii="Consolas" w:hAnsi="Consolas" w:cs="Consolas"/>
          <w:color w:val="A31515"/>
          <w:sz w:val="19"/>
          <w:szCs w:val="19"/>
        </w:rPr>
        <w:t xml:space="preserve"> </w:t>
      </w:r>
      <w:r>
        <w:t>(librement accessible sur Inter</w:t>
      </w:r>
      <w:r w:rsidRPr="009A018A">
        <w:t>net</w:t>
      </w:r>
      <w:r>
        <w:t>)</w:t>
      </w:r>
      <w:r w:rsidRPr="009A018A">
        <w:t>.</w:t>
      </w:r>
    </w:p>
    <w:p w:rsidR="009B79DA" w:rsidRDefault="00513B6C" w:rsidP="00DD0318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NF EN 206-1 :2000 de Avril 2004 (tirage 2006-06) et son Annexe Nationale Française</w:t>
      </w:r>
    </w:p>
    <w:sectPr w:rsidR="009B79DA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60319"/>
    <w:multiLevelType w:val="hybridMultilevel"/>
    <w:tmpl w:val="1A7425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D379B9"/>
    <w:multiLevelType w:val="hybridMultilevel"/>
    <w:tmpl w:val="EBBAD6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11"/>
  </w:num>
  <w:num w:numId="8">
    <w:abstractNumId w:val="13"/>
  </w:num>
  <w:num w:numId="9">
    <w:abstractNumId w:val="4"/>
  </w:num>
  <w:num w:numId="10">
    <w:abstractNumId w:val="8"/>
  </w:num>
  <w:num w:numId="11">
    <w:abstractNumId w:val="10"/>
  </w:num>
  <w:num w:numId="12">
    <w:abstractNumId w:val="12"/>
  </w:num>
  <w:num w:numId="13">
    <w:abstractNumId w:val="14"/>
  </w:num>
  <w:num w:numId="14">
    <w:abstractNumId w:val="15"/>
  </w:num>
  <w:num w:numId="15">
    <w:abstractNumId w:val="16"/>
  </w:num>
  <w:num w:numId="16">
    <w:abstractNumId w:val="2"/>
  </w:num>
  <w:num w:numId="17">
    <w:abstractNumId w:val="3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176E2"/>
    <w:rsid w:val="00025571"/>
    <w:rsid w:val="00033C0C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F0BE2"/>
    <w:rsid w:val="00356AC9"/>
    <w:rsid w:val="005019B6"/>
    <w:rsid w:val="00513B6C"/>
    <w:rsid w:val="005621A4"/>
    <w:rsid w:val="005A06E9"/>
    <w:rsid w:val="005A4BAF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9060F"/>
    <w:rsid w:val="007E4335"/>
    <w:rsid w:val="0083507E"/>
    <w:rsid w:val="008E3454"/>
    <w:rsid w:val="008F6CB7"/>
    <w:rsid w:val="00902D2C"/>
    <w:rsid w:val="00923F20"/>
    <w:rsid w:val="009306D1"/>
    <w:rsid w:val="00946577"/>
    <w:rsid w:val="0096305B"/>
    <w:rsid w:val="00983E27"/>
    <w:rsid w:val="009B79DA"/>
    <w:rsid w:val="00A55C81"/>
    <w:rsid w:val="00A85F1B"/>
    <w:rsid w:val="00AA0DED"/>
    <w:rsid w:val="00AC4C8B"/>
    <w:rsid w:val="00AC795F"/>
    <w:rsid w:val="00B14982"/>
    <w:rsid w:val="00B14A7B"/>
    <w:rsid w:val="00B91596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447BA"/>
    <w:rsid w:val="00D7202E"/>
    <w:rsid w:val="00D7782D"/>
    <w:rsid w:val="00D8287A"/>
    <w:rsid w:val="00E32643"/>
    <w:rsid w:val="00E341E3"/>
    <w:rsid w:val="00E90F9F"/>
    <w:rsid w:val="00EC1B70"/>
    <w:rsid w:val="00ED1818"/>
    <w:rsid w:val="00EE2A24"/>
    <w:rsid w:val="00EF1D5B"/>
    <w:rsid w:val="00F060F6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13B14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ienhypertexte">
    <w:name w:val="Hyperlink"/>
    <w:basedOn w:val="Policepardfaut"/>
    <w:uiPriority w:val="99"/>
    <w:rsid w:val="000176E2"/>
    <w:rPr>
      <w:rFonts w:cs="Times New Roman"/>
      <w:color w:val="0000FF"/>
      <w:u w:val="single"/>
    </w:rPr>
  </w:style>
  <w:style w:type="table" w:styleId="Grilledutableau">
    <w:name w:val="Table Grid"/>
    <w:basedOn w:val="TableauNormal"/>
    <w:uiPriority w:val="59"/>
    <w:rsid w:val="008350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318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8</cp:revision>
  <dcterms:created xsi:type="dcterms:W3CDTF">2025-11-16T14:41:00Z</dcterms:created>
  <dcterms:modified xsi:type="dcterms:W3CDTF">2026-06-15T08:23:00Z</dcterms:modified>
</cp:coreProperties>
</file>